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F8E3" w14:textId="77777777" w:rsidR="00233B53" w:rsidRDefault="00233B53" w:rsidP="00233B53">
      <w:pPr>
        <w:rPr>
          <w:b/>
          <w:sz w:val="28"/>
          <w:szCs w:val="28"/>
        </w:rPr>
      </w:pPr>
      <w:r>
        <w:rPr>
          <w:b/>
          <w:sz w:val="28"/>
          <w:szCs w:val="28"/>
        </w:rPr>
        <w:t>July 7, 2020</w:t>
      </w:r>
    </w:p>
    <w:p w14:paraId="1C071FAB" w14:textId="77777777" w:rsidR="00233B53" w:rsidRDefault="00233B53" w:rsidP="00233B53">
      <w:pPr>
        <w:rPr>
          <w:b/>
          <w:sz w:val="28"/>
          <w:szCs w:val="28"/>
        </w:rPr>
      </w:pPr>
      <w:r>
        <w:rPr>
          <w:b/>
          <w:sz w:val="28"/>
          <w:szCs w:val="28"/>
        </w:rPr>
        <w:t>European Update</w:t>
      </w:r>
    </w:p>
    <w:p w14:paraId="585698B2" w14:textId="77777777" w:rsidR="00233B53" w:rsidRDefault="00233B53" w:rsidP="00233B53">
      <w:pPr>
        <w:rPr>
          <w:sz w:val="28"/>
          <w:szCs w:val="28"/>
        </w:rPr>
      </w:pPr>
      <w:r>
        <w:rPr>
          <w:sz w:val="28"/>
          <w:szCs w:val="28"/>
        </w:rPr>
        <w:t>The North Western European (NEPG) area estimate excluding seed and starch potatoes shows that the total planted area is estimated to be up 0.5%, over last year, which translates into an increase of 7,700 acres. The largest increases are in Germany at 2%, France at 1.4%, and Belgium at .9%. There are decreases in the Netherlands of -2.4% and Great Britain at -1.6% respectively.</w:t>
      </w:r>
    </w:p>
    <w:p w14:paraId="0D2CB9A3" w14:textId="77777777" w:rsidR="00233B53" w:rsidRDefault="00233B53" w:rsidP="00233B53">
      <w:pPr>
        <w:rPr>
          <w:sz w:val="28"/>
          <w:szCs w:val="28"/>
        </w:rPr>
      </w:pPr>
      <w:r>
        <w:rPr>
          <w:sz w:val="28"/>
          <w:szCs w:val="28"/>
        </w:rPr>
        <w:t>Total acreage in the big five producing countries is up 7.6% over the five-year average, an additional 109,500 acres.</w:t>
      </w:r>
    </w:p>
    <w:p w14:paraId="07DA54F2" w14:textId="77777777" w:rsidR="00233B53" w:rsidRDefault="00233B53" w:rsidP="00233B53">
      <w:pPr>
        <w:rPr>
          <w:sz w:val="28"/>
          <w:szCs w:val="28"/>
        </w:rPr>
      </w:pPr>
    </w:p>
    <w:p w14:paraId="5DF97A44" w14:textId="77777777" w:rsidR="00233B53" w:rsidRDefault="00233B53" w:rsidP="00233B53">
      <w:pPr>
        <w:rPr>
          <w:sz w:val="28"/>
          <w:szCs w:val="28"/>
        </w:rPr>
      </w:pPr>
    </w:p>
    <w:tbl>
      <w:tblPr>
        <w:tblStyle w:val="TableGrid"/>
        <w:tblW w:w="0" w:type="auto"/>
        <w:tblLook w:val="04A0" w:firstRow="1" w:lastRow="0" w:firstColumn="1" w:lastColumn="0" w:noHBand="0" w:noVBand="1"/>
      </w:tblPr>
      <w:tblGrid>
        <w:gridCol w:w="1980"/>
        <w:gridCol w:w="1812"/>
        <w:gridCol w:w="1812"/>
        <w:gridCol w:w="1734"/>
        <w:gridCol w:w="1518"/>
      </w:tblGrid>
      <w:tr w:rsidR="00233B53" w14:paraId="222E12B2" w14:textId="77777777" w:rsidTr="00FA00C7">
        <w:tc>
          <w:tcPr>
            <w:tcW w:w="1980" w:type="dxa"/>
          </w:tcPr>
          <w:p w14:paraId="46D45EF1" w14:textId="77777777" w:rsidR="00233B53" w:rsidRDefault="00233B53" w:rsidP="00FA00C7">
            <w:pPr>
              <w:rPr>
                <w:sz w:val="28"/>
                <w:szCs w:val="28"/>
              </w:rPr>
            </w:pPr>
          </w:p>
        </w:tc>
        <w:tc>
          <w:tcPr>
            <w:tcW w:w="1812" w:type="dxa"/>
          </w:tcPr>
          <w:p w14:paraId="5C4B0E07" w14:textId="77777777" w:rsidR="00233B53" w:rsidRPr="00A6610C" w:rsidRDefault="00233B53" w:rsidP="00FA00C7">
            <w:pPr>
              <w:jc w:val="right"/>
              <w:rPr>
                <w:b/>
                <w:sz w:val="28"/>
                <w:szCs w:val="28"/>
              </w:rPr>
            </w:pPr>
            <w:r>
              <w:rPr>
                <w:b/>
                <w:sz w:val="28"/>
                <w:szCs w:val="28"/>
              </w:rPr>
              <w:t>5yr-Avg.  Ac</w:t>
            </w:r>
          </w:p>
        </w:tc>
        <w:tc>
          <w:tcPr>
            <w:tcW w:w="1812" w:type="dxa"/>
          </w:tcPr>
          <w:p w14:paraId="46661183" w14:textId="77777777" w:rsidR="00233B53" w:rsidRPr="00A6610C" w:rsidRDefault="00233B53" w:rsidP="00FA00C7">
            <w:pPr>
              <w:jc w:val="right"/>
              <w:rPr>
                <w:b/>
                <w:sz w:val="28"/>
                <w:szCs w:val="28"/>
              </w:rPr>
            </w:pPr>
            <w:r>
              <w:rPr>
                <w:b/>
                <w:sz w:val="28"/>
                <w:szCs w:val="28"/>
              </w:rPr>
              <w:t>2019 Ac</w:t>
            </w:r>
          </w:p>
        </w:tc>
        <w:tc>
          <w:tcPr>
            <w:tcW w:w="1734" w:type="dxa"/>
          </w:tcPr>
          <w:p w14:paraId="54BAA8CD" w14:textId="77777777" w:rsidR="00233B53" w:rsidRPr="00A6610C" w:rsidRDefault="00233B53" w:rsidP="00FA00C7">
            <w:pPr>
              <w:jc w:val="right"/>
              <w:rPr>
                <w:b/>
                <w:sz w:val="28"/>
                <w:szCs w:val="28"/>
              </w:rPr>
            </w:pPr>
            <w:r>
              <w:rPr>
                <w:b/>
                <w:sz w:val="28"/>
                <w:szCs w:val="28"/>
              </w:rPr>
              <w:t>2020 Ac</w:t>
            </w:r>
          </w:p>
        </w:tc>
        <w:tc>
          <w:tcPr>
            <w:tcW w:w="1518" w:type="dxa"/>
          </w:tcPr>
          <w:p w14:paraId="17EAB4FD" w14:textId="77777777" w:rsidR="00233B53" w:rsidRPr="00A6610C" w:rsidRDefault="00233B53" w:rsidP="00FA00C7">
            <w:pPr>
              <w:jc w:val="right"/>
              <w:rPr>
                <w:b/>
                <w:sz w:val="28"/>
                <w:szCs w:val="28"/>
              </w:rPr>
            </w:pPr>
            <w:r w:rsidRPr="00A6610C">
              <w:rPr>
                <w:b/>
                <w:sz w:val="28"/>
                <w:szCs w:val="28"/>
              </w:rPr>
              <w:t>% Change</w:t>
            </w:r>
          </w:p>
        </w:tc>
      </w:tr>
      <w:tr w:rsidR="00233B53" w14:paraId="0F99FE99" w14:textId="77777777" w:rsidTr="00FA00C7">
        <w:tc>
          <w:tcPr>
            <w:tcW w:w="1980" w:type="dxa"/>
          </w:tcPr>
          <w:p w14:paraId="5C9006C3" w14:textId="77777777" w:rsidR="00233B53" w:rsidRDefault="00233B53" w:rsidP="00FA00C7">
            <w:pPr>
              <w:rPr>
                <w:sz w:val="28"/>
                <w:szCs w:val="28"/>
              </w:rPr>
            </w:pPr>
            <w:r>
              <w:rPr>
                <w:sz w:val="28"/>
                <w:szCs w:val="28"/>
              </w:rPr>
              <w:t>Germany</w:t>
            </w:r>
          </w:p>
        </w:tc>
        <w:tc>
          <w:tcPr>
            <w:tcW w:w="1812" w:type="dxa"/>
          </w:tcPr>
          <w:p w14:paraId="1C60475A" w14:textId="77777777" w:rsidR="00233B53" w:rsidRDefault="00233B53" w:rsidP="00FA00C7">
            <w:pPr>
              <w:jc w:val="right"/>
              <w:rPr>
                <w:sz w:val="28"/>
                <w:szCs w:val="28"/>
              </w:rPr>
            </w:pPr>
            <w:r>
              <w:rPr>
                <w:sz w:val="28"/>
                <w:szCs w:val="28"/>
              </w:rPr>
              <w:t>426,897</w:t>
            </w:r>
          </w:p>
        </w:tc>
        <w:tc>
          <w:tcPr>
            <w:tcW w:w="1812" w:type="dxa"/>
          </w:tcPr>
          <w:p w14:paraId="349DF960" w14:textId="77777777" w:rsidR="00233B53" w:rsidRDefault="00233B53" w:rsidP="00FA00C7">
            <w:pPr>
              <w:jc w:val="right"/>
              <w:rPr>
                <w:sz w:val="28"/>
                <w:szCs w:val="28"/>
              </w:rPr>
            </w:pPr>
            <w:r>
              <w:rPr>
                <w:sz w:val="28"/>
                <w:szCs w:val="28"/>
              </w:rPr>
              <w:t>459,606</w:t>
            </w:r>
          </w:p>
        </w:tc>
        <w:tc>
          <w:tcPr>
            <w:tcW w:w="1734" w:type="dxa"/>
          </w:tcPr>
          <w:p w14:paraId="2B749BC3" w14:textId="77777777" w:rsidR="00233B53" w:rsidRDefault="00233B53" w:rsidP="00FA00C7">
            <w:pPr>
              <w:jc w:val="right"/>
              <w:rPr>
                <w:sz w:val="28"/>
                <w:szCs w:val="28"/>
              </w:rPr>
            </w:pPr>
            <w:r>
              <w:rPr>
                <w:sz w:val="28"/>
                <w:szCs w:val="28"/>
              </w:rPr>
              <w:t>468,749</w:t>
            </w:r>
          </w:p>
        </w:tc>
        <w:tc>
          <w:tcPr>
            <w:tcW w:w="1518" w:type="dxa"/>
          </w:tcPr>
          <w:p w14:paraId="3388510C" w14:textId="77777777" w:rsidR="00233B53" w:rsidRDefault="00233B53" w:rsidP="00FA00C7">
            <w:pPr>
              <w:jc w:val="right"/>
              <w:rPr>
                <w:sz w:val="28"/>
                <w:szCs w:val="28"/>
              </w:rPr>
            </w:pPr>
            <w:r>
              <w:rPr>
                <w:sz w:val="28"/>
                <w:szCs w:val="28"/>
              </w:rPr>
              <w:t>+2.0%</w:t>
            </w:r>
          </w:p>
        </w:tc>
      </w:tr>
      <w:tr w:rsidR="00233B53" w14:paraId="47ACEDC0" w14:textId="77777777" w:rsidTr="00FA00C7">
        <w:tc>
          <w:tcPr>
            <w:tcW w:w="1980" w:type="dxa"/>
          </w:tcPr>
          <w:p w14:paraId="21C8E0C4" w14:textId="77777777" w:rsidR="00233B53" w:rsidRDefault="00233B53" w:rsidP="00FA00C7">
            <w:pPr>
              <w:rPr>
                <w:sz w:val="28"/>
                <w:szCs w:val="28"/>
              </w:rPr>
            </w:pPr>
            <w:r>
              <w:rPr>
                <w:sz w:val="28"/>
                <w:szCs w:val="28"/>
              </w:rPr>
              <w:t>France</w:t>
            </w:r>
          </w:p>
        </w:tc>
        <w:tc>
          <w:tcPr>
            <w:tcW w:w="1812" w:type="dxa"/>
          </w:tcPr>
          <w:p w14:paraId="326386FC" w14:textId="77777777" w:rsidR="00233B53" w:rsidRDefault="00233B53" w:rsidP="00FA00C7">
            <w:pPr>
              <w:jc w:val="right"/>
              <w:rPr>
                <w:sz w:val="28"/>
                <w:szCs w:val="28"/>
              </w:rPr>
            </w:pPr>
            <w:r>
              <w:rPr>
                <w:sz w:val="28"/>
                <w:szCs w:val="28"/>
              </w:rPr>
              <w:t>335,977</w:t>
            </w:r>
          </w:p>
        </w:tc>
        <w:tc>
          <w:tcPr>
            <w:tcW w:w="1812" w:type="dxa"/>
          </w:tcPr>
          <w:p w14:paraId="2F3E4BD6" w14:textId="77777777" w:rsidR="00233B53" w:rsidRDefault="00233B53" w:rsidP="00FA00C7">
            <w:pPr>
              <w:jc w:val="right"/>
              <w:rPr>
                <w:sz w:val="28"/>
                <w:szCs w:val="28"/>
              </w:rPr>
            </w:pPr>
            <w:r>
              <w:rPr>
                <w:sz w:val="28"/>
                <w:szCs w:val="28"/>
              </w:rPr>
              <w:t>377,322</w:t>
            </w:r>
          </w:p>
        </w:tc>
        <w:tc>
          <w:tcPr>
            <w:tcW w:w="1734" w:type="dxa"/>
          </w:tcPr>
          <w:p w14:paraId="03F025DD" w14:textId="77777777" w:rsidR="00233B53" w:rsidRDefault="00233B53" w:rsidP="00FA00C7">
            <w:pPr>
              <w:jc w:val="right"/>
              <w:rPr>
                <w:sz w:val="28"/>
                <w:szCs w:val="28"/>
              </w:rPr>
            </w:pPr>
            <w:r>
              <w:rPr>
                <w:sz w:val="28"/>
                <w:szCs w:val="28"/>
              </w:rPr>
              <w:t>382,758</w:t>
            </w:r>
          </w:p>
        </w:tc>
        <w:tc>
          <w:tcPr>
            <w:tcW w:w="1518" w:type="dxa"/>
          </w:tcPr>
          <w:p w14:paraId="2EE94FF3" w14:textId="77777777" w:rsidR="00233B53" w:rsidRDefault="00233B53" w:rsidP="00FA00C7">
            <w:pPr>
              <w:jc w:val="right"/>
              <w:rPr>
                <w:sz w:val="28"/>
                <w:szCs w:val="28"/>
              </w:rPr>
            </w:pPr>
            <w:r>
              <w:rPr>
                <w:sz w:val="28"/>
                <w:szCs w:val="28"/>
              </w:rPr>
              <w:t>+1.4%</w:t>
            </w:r>
          </w:p>
        </w:tc>
      </w:tr>
      <w:tr w:rsidR="00233B53" w14:paraId="543A20C2" w14:textId="77777777" w:rsidTr="00FA00C7">
        <w:tc>
          <w:tcPr>
            <w:tcW w:w="1980" w:type="dxa"/>
          </w:tcPr>
          <w:p w14:paraId="5029BBBC" w14:textId="77777777" w:rsidR="00233B53" w:rsidRDefault="00233B53" w:rsidP="00FA00C7">
            <w:pPr>
              <w:rPr>
                <w:sz w:val="28"/>
                <w:szCs w:val="28"/>
              </w:rPr>
            </w:pPr>
            <w:r>
              <w:rPr>
                <w:sz w:val="28"/>
                <w:szCs w:val="28"/>
              </w:rPr>
              <w:t>Great Britain</w:t>
            </w:r>
          </w:p>
        </w:tc>
        <w:tc>
          <w:tcPr>
            <w:tcW w:w="1812" w:type="dxa"/>
          </w:tcPr>
          <w:p w14:paraId="6C140518" w14:textId="77777777" w:rsidR="00233B53" w:rsidRDefault="00233B53" w:rsidP="00FA00C7">
            <w:pPr>
              <w:jc w:val="right"/>
              <w:rPr>
                <w:sz w:val="28"/>
                <w:szCs w:val="28"/>
              </w:rPr>
            </w:pPr>
            <w:r>
              <w:rPr>
                <w:sz w:val="28"/>
                <w:szCs w:val="28"/>
              </w:rPr>
              <w:t>251,056</w:t>
            </w:r>
          </w:p>
        </w:tc>
        <w:tc>
          <w:tcPr>
            <w:tcW w:w="1812" w:type="dxa"/>
          </w:tcPr>
          <w:p w14:paraId="571455D7" w14:textId="77777777" w:rsidR="00233B53" w:rsidRDefault="00233B53" w:rsidP="00FA00C7">
            <w:pPr>
              <w:jc w:val="right"/>
              <w:rPr>
                <w:sz w:val="28"/>
                <w:szCs w:val="28"/>
              </w:rPr>
            </w:pPr>
            <w:r>
              <w:rPr>
                <w:sz w:val="28"/>
                <w:szCs w:val="28"/>
              </w:rPr>
              <w:t>255,254</w:t>
            </w:r>
          </w:p>
        </w:tc>
        <w:tc>
          <w:tcPr>
            <w:tcW w:w="1734" w:type="dxa"/>
          </w:tcPr>
          <w:p w14:paraId="422DF724" w14:textId="77777777" w:rsidR="00233B53" w:rsidRDefault="00233B53" w:rsidP="00FA00C7">
            <w:pPr>
              <w:jc w:val="right"/>
              <w:rPr>
                <w:sz w:val="28"/>
                <w:szCs w:val="28"/>
              </w:rPr>
            </w:pPr>
            <w:r w:rsidRPr="00EA0DFE">
              <w:rPr>
                <w:color w:val="FF0000"/>
                <w:sz w:val="28"/>
                <w:szCs w:val="28"/>
              </w:rPr>
              <w:t>251,056</w:t>
            </w:r>
          </w:p>
        </w:tc>
        <w:tc>
          <w:tcPr>
            <w:tcW w:w="1518" w:type="dxa"/>
          </w:tcPr>
          <w:p w14:paraId="786EF857" w14:textId="77777777" w:rsidR="00233B53" w:rsidRDefault="00233B53" w:rsidP="00FA00C7">
            <w:pPr>
              <w:jc w:val="right"/>
              <w:rPr>
                <w:sz w:val="28"/>
                <w:szCs w:val="28"/>
              </w:rPr>
            </w:pPr>
            <w:r w:rsidRPr="00EA0DFE">
              <w:rPr>
                <w:color w:val="FF0000"/>
                <w:sz w:val="28"/>
                <w:szCs w:val="28"/>
              </w:rPr>
              <w:t>-1.6%</w:t>
            </w:r>
          </w:p>
        </w:tc>
      </w:tr>
      <w:tr w:rsidR="00233B53" w14:paraId="32C74648" w14:textId="77777777" w:rsidTr="00FA00C7">
        <w:tc>
          <w:tcPr>
            <w:tcW w:w="1980" w:type="dxa"/>
          </w:tcPr>
          <w:p w14:paraId="550795C1" w14:textId="77777777" w:rsidR="00233B53" w:rsidRDefault="00233B53" w:rsidP="00FA00C7">
            <w:pPr>
              <w:rPr>
                <w:sz w:val="28"/>
                <w:szCs w:val="28"/>
              </w:rPr>
            </w:pPr>
            <w:r>
              <w:rPr>
                <w:sz w:val="28"/>
                <w:szCs w:val="28"/>
              </w:rPr>
              <w:t>Belgium</w:t>
            </w:r>
          </w:p>
        </w:tc>
        <w:tc>
          <w:tcPr>
            <w:tcW w:w="1812" w:type="dxa"/>
          </w:tcPr>
          <w:p w14:paraId="1F0900CE" w14:textId="77777777" w:rsidR="00233B53" w:rsidRDefault="00233B53" w:rsidP="00FA00C7">
            <w:pPr>
              <w:jc w:val="right"/>
              <w:rPr>
                <w:sz w:val="28"/>
                <w:szCs w:val="28"/>
              </w:rPr>
            </w:pPr>
            <w:r>
              <w:rPr>
                <w:sz w:val="28"/>
                <w:szCs w:val="28"/>
              </w:rPr>
              <w:t>226,346</w:t>
            </w:r>
          </w:p>
        </w:tc>
        <w:tc>
          <w:tcPr>
            <w:tcW w:w="1812" w:type="dxa"/>
          </w:tcPr>
          <w:p w14:paraId="3770A3B2" w14:textId="77777777" w:rsidR="00233B53" w:rsidRDefault="00233B53" w:rsidP="00FA00C7">
            <w:pPr>
              <w:jc w:val="right"/>
              <w:rPr>
                <w:sz w:val="28"/>
                <w:szCs w:val="28"/>
              </w:rPr>
            </w:pPr>
            <w:r>
              <w:rPr>
                <w:sz w:val="28"/>
                <w:szCs w:val="28"/>
              </w:rPr>
              <w:t>239,942</w:t>
            </w:r>
          </w:p>
        </w:tc>
        <w:tc>
          <w:tcPr>
            <w:tcW w:w="1734" w:type="dxa"/>
          </w:tcPr>
          <w:p w14:paraId="7744BABA" w14:textId="77777777" w:rsidR="00233B53" w:rsidRDefault="00233B53" w:rsidP="00FA00C7">
            <w:pPr>
              <w:jc w:val="right"/>
              <w:rPr>
                <w:sz w:val="28"/>
                <w:szCs w:val="28"/>
              </w:rPr>
            </w:pPr>
            <w:r>
              <w:rPr>
                <w:sz w:val="28"/>
                <w:szCs w:val="28"/>
              </w:rPr>
              <w:t>242,027</w:t>
            </w:r>
          </w:p>
        </w:tc>
        <w:tc>
          <w:tcPr>
            <w:tcW w:w="1518" w:type="dxa"/>
          </w:tcPr>
          <w:p w14:paraId="22BC7453" w14:textId="77777777" w:rsidR="00233B53" w:rsidRDefault="00233B53" w:rsidP="00FA00C7">
            <w:pPr>
              <w:jc w:val="right"/>
              <w:rPr>
                <w:sz w:val="28"/>
                <w:szCs w:val="28"/>
              </w:rPr>
            </w:pPr>
            <w:r>
              <w:rPr>
                <w:sz w:val="28"/>
                <w:szCs w:val="28"/>
              </w:rPr>
              <w:t>+0.9%</w:t>
            </w:r>
          </w:p>
        </w:tc>
      </w:tr>
      <w:tr w:rsidR="00233B53" w14:paraId="66AB5430" w14:textId="77777777" w:rsidTr="00FA00C7">
        <w:tc>
          <w:tcPr>
            <w:tcW w:w="1980" w:type="dxa"/>
          </w:tcPr>
          <w:p w14:paraId="21DFFF7D" w14:textId="77777777" w:rsidR="00233B53" w:rsidRDefault="00233B53" w:rsidP="00FA00C7">
            <w:pPr>
              <w:rPr>
                <w:sz w:val="28"/>
                <w:szCs w:val="28"/>
              </w:rPr>
            </w:pPr>
            <w:r>
              <w:rPr>
                <w:sz w:val="28"/>
                <w:szCs w:val="28"/>
              </w:rPr>
              <w:t>Netherlands</w:t>
            </w:r>
          </w:p>
        </w:tc>
        <w:tc>
          <w:tcPr>
            <w:tcW w:w="1812" w:type="dxa"/>
          </w:tcPr>
          <w:p w14:paraId="29593541" w14:textId="77777777" w:rsidR="00233B53" w:rsidRDefault="00233B53" w:rsidP="00FA00C7">
            <w:pPr>
              <w:jc w:val="right"/>
              <w:rPr>
                <w:sz w:val="28"/>
                <w:szCs w:val="28"/>
              </w:rPr>
            </w:pPr>
            <w:r>
              <w:rPr>
                <w:sz w:val="28"/>
                <w:szCs w:val="28"/>
              </w:rPr>
              <w:t>196,091</w:t>
            </w:r>
          </w:p>
        </w:tc>
        <w:tc>
          <w:tcPr>
            <w:tcW w:w="1812" w:type="dxa"/>
          </w:tcPr>
          <w:p w14:paraId="5E5CC618" w14:textId="77777777" w:rsidR="00233B53" w:rsidRDefault="00233B53" w:rsidP="00FA00C7">
            <w:pPr>
              <w:jc w:val="right"/>
              <w:rPr>
                <w:sz w:val="28"/>
                <w:szCs w:val="28"/>
              </w:rPr>
            </w:pPr>
            <w:r>
              <w:rPr>
                <w:sz w:val="28"/>
                <w:szCs w:val="28"/>
              </w:rPr>
              <w:t>194,962</w:t>
            </w:r>
          </w:p>
        </w:tc>
        <w:tc>
          <w:tcPr>
            <w:tcW w:w="1734" w:type="dxa"/>
          </w:tcPr>
          <w:p w14:paraId="28286B80" w14:textId="77777777" w:rsidR="00233B53" w:rsidRDefault="00233B53" w:rsidP="00FA00C7">
            <w:pPr>
              <w:jc w:val="right"/>
              <w:rPr>
                <w:sz w:val="28"/>
                <w:szCs w:val="28"/>
              </w:rPr>
            </w:pPr>
            <w:r w:rsidRPr="00EA0DFE">
              <w:rPr>
                <w:color w:val="FF0000"/>
                <w:sz w:val="28"/>
                <w:szCs w:val="28"/>
              </w:rPr>
              <w:t>190,267</w:t>
            </w:r>
          </w:p>
        </w:tc>
        <w:tc>
          <w:tcPr>
            <w:tcW w:w="1518" w:type="dxa"/>
          </w:tcPr>
          <w:p w14:paraId="31B0CCBE" w14:textId="77777777" w:rsidR="00233B53" w:rsidRDefault="00233B53" w:rsidP="00FA00C7">
            <w:pPr>
              <w:jc w:val="right"/>
              <w:rPr>
                <w:sz w:val="28"/>
                <w:szCs w:val="28"/>
              </w:rPr>
            </w:pPr>
            <w:r w:rsidRPr="00EA0DFE">
              <w:rPr>
                <w:color w:val="FF0000"/>
                <w:sz w:val="28"/>
                <w:szCs w:val="28"/>
              </w:rPr>
              <w:t>-2.4%</w:t>
            </w:r>
          </w:p>
        </w:tc>
      </w:tr>
      <w:tr w:rsidR="00233B53" w14:paraId="089D14B7" w14:textId="77777777" w:rsidTr="00FA00C7">
        <w:tc>
          <w:tcPr>
            <w:tcW w:w="1980" w:type="dxa"/>
          </w:tcPr>
          <w:p w14:paraId="55C993FF" w14:textId="77777777" w:rsidR="00233B53" w:rsidRPr="00A6610C" w:rsidRDefault="00233B53" w:rsidP="00FA00C7">
            <w:pPr>
              <w:rPr>
                <w:b/>
                <w:sz w:val="28"/>
                <w:szCs w:val="28"/>
              </w:rPr>
            </w:pPr>
            <w:r>
              <w:rPr>
                <w:b/>
                <w:sz w:val="28"/>
                <w:szCs w:val="28"/>
              </w:rPr>
              <w:t>NEPG Area Total</w:t>
            </w:r>
          </w:p>
        </w:tc>
        <w:tc>
          <w:tcPr>
            <w:tcW w:w="1812" w:type="dxa"/>
          </w:tcPr>
          <w:p w14:paraId="313F8052" w14:textId="77777777" w:rsidR="00233B53" w:rsidRPr="00A6610C" w:rsidRDefault="00233B53" w:rsidP="00FA00C7">
            <w:pPr>
              <w:jc w:val="right"/>
              <w:rPr>
                <w:b/>
                <w:sz w:val="28"/>
                <w:szCs w:val="28"/>
              </w:rPr>
            </w:pPr>
            <w:r>
              <w:rPr>
                <w:b/>
                <w:sz w:val="28"/>
                <w:szCs w:val="28"/>
              </w:rPr>
              <w:t>1,426,367</w:t>
            </w:r>
          </w:p>
        </w:tc>
        <w:tc>
          <w:tcPr>
            <w:tcW w:w="1812" w:type="dxa"/>
          </w:tcPr>
          <w:p w14:paraId="6C2A85BB" w14:textId="77777777" w:rsidR="00233B53" w:rsidRPr="00A6610C" w:rsidRDefault="00233B53" w:rsidP="00FA00C7">
            <w:pPr>
              <w:jc w:val="right"/>
              <w:rPr>
                <w:b/>
                <w:sz w:val="28"/>
                <w:szCs w:val="28"/>
              </w:rPr>
            </w:pPr>
            <w:r>
              <w:rPr>
                <w:b/>
                <w:sz w:val="28"/>
                <w:szCs w:val="28"/>
              </w:rPr>
              <w:t>1,527,135</w:t>
            </w:r>
          </w:p>
        </w:tc>
        <w:tc>
          <w:tcPr>
            <w:tcW w:w="1734" w:type="dxa"/>
          </w:tcPr>
          <w:p w14:paraId="36593CC3" w14:textId="77777777" w:rsidR="00233B53" w:rsidRPr="00A6610C" w:rsidRDefault="00233B53" w:rsidP="00FA00C7">
            <w:pPr>
              <w:jc w:val="right"/>
              <w:rPr>
                <w:b/>
                <w:sz w:val="28"/>
                <w:szCs w:val="28"/>
              </w:rPr>
            </w:pPr>
            <w:r>
              <w:rPr>
                <w:b/>
                <w:sz w:val="28"/>
                <w:szCs w:val="28"/>
              </w:rPr>
              <w:t>1,534,857</w:t>
            </w:r>
          </w:p>
        </w:tc>
        <w:tc>
          <w:tcPr>
            <w:tcW w:w="1518" w:type="dxa"/>
          </w:tcPr>
          <w:p w14:paraId="187CD8FD" w14:textId="77777777" w:rsidR="00233B53" w:rsidRPr="00A6610C" w:rsidRDefault="00233B53" w:rsidP="00FA00C7">
            <w:pPr>
              <w:jc w:val="right"/>
              <w:rPr>
                <w:b/>
                <w:sz w:val="28"/>
                <w:szCs w:val="28"/>
              </w:rPr>
            </w:pPr>
            <w:r>
              <w:rPr>
                <w:b/>
                <w:sz w:val="28"/>
                <w:szCs w:val="28"/>
              </w:rPr>
              <w:t>+0.5</w:t>
            </w:r>
            <w:r w:rsidRPr="00A6610C">
              <w:rPr>
                <w:b/>
                <w:sz w:val="28"/>
                <w:szCs w:val="28"/>
              </w:rPr>
              <w:t>%</w:t>
            </w:r>
          </w:p>
        </w:tc>
      </w:tr>
    </w:tbl>
    <w:p w14:paraId="0D3069CE" w14:textId="77777777" w:rsidR="00233B53" w:rsidRPr="00E94A9E" w:rsidRDefault="00233B53" w:rsidP="00233B53">
      <w:pPr>
        <w:rPr>
          <w:sz w:val="20"/>
          <w:szCs w:val="20"/>
        </w:rPr>
      </w:pPr>
      <w:r>
        <w:rPr>
          <w:sz w:val="20"/>
          <w:szCs w:val="20"/>
        </w:rPr>
        <w:t>Source: NEPG July 7, 2020</w:t>
      </w:r>
    </w:p>
    <w:p w14:paraId="1557B597" w14:textId="77777777" w:rsidR="00233B53" w:rsidRDefault="00233B53" w:rsidP="00233B53">
      <w:pPr>
        <w:rPr>
          <w:sz w:val="28"/>
          <w:szCs w:val="28"/>
        </w:rPr>
      </w:pPr>
    </w:p>
    <w:p w14:paraId="60DE2CB5" w14:textId="77777777" w:rsidR="00233B53" w:rsidRDefault="00233B53" w:rsidP="00233B53">
      <w:pPr>
        <w:rPr>
          <w:sz w:val="28"/>
          <w:szCs w:val="28"/>
        </w:rPr>
      </w:pPr>
    </w:p>
    <w:p w14:paraId="46660733" w14:textId="77777777" w:rsidR="00233B53" w:rsidRDefault="00233B53" w:rsidP="00233B53">
      <w:pPr>
        <w:rPr>
          <w:sz w:val="28"/>
          <w:szCs w:val="28"/>
        </w:rPr>
      </w:pPr>
      <w:r>
        <w:rPr>
          <w:sz w:val="28"/>
          <w:szCs w:val="28"/>
        </w:rPr>
        <w:t>Despite the increase in planted area, the actual production will be more dependent on yields. The first part of the growing season was too dry and may have already limited the available potential.</w:t>
      </w:r>
    </w:p>
    <w:p w14:paraId="532F1B80" w14:textId="77777777" w:rsidR="00233B53" w:rsidRPr="00836769" w:rsidRDefault="00233B53" w:rsidP="00233B53">
      <w:pPr>
        <w:rPr>
          <w:sz w:val="28"/>
          <w:szCs w:val="28"/>
        </w:rPr>
      </w:pPr>
      <w:r>
        <w:rPr>
          <w:sz w:val="28"/>
          <w:szCs w:val="28"/>
        </w:rPr>
        <w:t>According to the North Western European Growers Association, it seems that even with the COVID-19 restrictions this spring, many growers had already ordered their seed and rented ground and were unable to reduce their area planted in potatoes.</w:t>
      </w:r>
    </w:p>
    <w:p w14:paraId="513ECD86" w14:textId="77777777" w:rsidR="00233B53" w:rsidRDefault="00233B53" w:rsidP="00233B53"/>
    <w:p w14:paraId="28A9D6CE" w14:textId="77777777" w:rsidR="006C74EA" w:rsidRDefault="006C74EA"/>
    <w:sectPr w:rsidR="006C74EA" w:rsidSect="00737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3"/>
    <w:rsid w:val="00233B53"/>
    <w:rsid w:val="006C74EA"/>
    <w:rsid w:val="00737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56D78C"/>
  <w15:chartTrackingRefBased/>
  <w15:docId w15:val="{2EC590FA-7773-1C4B-A69B-B96A697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5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B5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dc:creator>
  <cp:keywords/>
  <dc:description/>
  <cp:lastModifiedBy>Kimberley</cp:lastModifiedBy>
  <cp:revision>1</cp:revision>
  <dcterms:created xsi:type="dcterms:W3CDTF">2020-07-08T21:09:00Z</dcterms:created>
  <dcterms:modified xsi:type="dcterms:W3CDTF">2020-07-08T21:14:00Z</dcterms:modified>
</cp:coreProperties>
</file>